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103"/>
        <w:spacing w:after="0" w:line="240" w:lineRule="auto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sz w:val="24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sz w:val="24"/>
          <w:lang w:eastAsia="ru-RU"/>
        </w:rPr>
      </w:r>
    </w:p>
    <w:p>
      <w:pPr>
        <w:ind w:firstLine="5103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Договору 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№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103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от «____» __________ 202_</w:t>
      </w:r>
      <w:r>
        <w:rPr>
          <w:rFonts w:ascii="Times New Roman" w:hAnsi="Times New Roman" w:eastAsia="Calibri" w:cs="Times New Roman"/>
          <w:sz w:val="24"/>
          <w:szCs w:val="24"/>
        </w:rPr>
      </w:r>
      <w:bookmarkStart w:id="0" w:name="_GoBack"/>
      <w:r/>
      <w:bookmarkEnd w:id="0"/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г.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851"/>
        <w:jc w:val="center"/>
        <w:tabs>
          <w:tab w:val="left" w:pos="1134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Критерии отбора Банков-Гарантов</w:t>
      </w:r>
      <w:r>
        <w:rPr>
          <w:rStyle w:val="936"/>
          <w:rFonts w:ascii="Times New Roman" w:hAnsi="Times New Roman" w:cs="Times New Roman"/>
          <w:sz w:val="26"/>
          <w:szCs w:val="26"/>
        </w:rPr>
        <w:footnoteReference w:id="2"/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Банк-Гарант (кредитная организация), выдающий банковскую гарантию, должен входить в перечень Банков-Гарантов Группы </w:t>
      </w:r>
      <w:r>
        <w:rPr>
          <w:rFonts w:ascii="Times New Roman" w:hAnsi="Times New Roman" w:cs="Times New Roman"/>
          <w:sz w:val="26"/>
          <w:szCs w:val="26"/>
        </w:rPr>
        <w:t xml:space="preserve">РусГидро</w:t>
      </w:r>
      <w:r>
        <w:rPr>
          <w:rFonts w:ascii="Times New Roman" w:hAnsi="Times New Roman" w:cs="Times New Roman"/>
          <w:sz w:val="26"/>
          <w:szCs w:val="26"/>
          <w:vertAlign w:val="superscript"/>
        </w:rPr>
        <w:footnoteReference w:id="3"/>
      </w:r>
      <w:r>
        <w:rPr>
          <w:rFonts w:ascii="Times New Roman" w:hAnsi="Times New Roman" w:cs="Times New Roman"/>
          <w:sz w:val="26"/>
          <w:szCs w:val="26"/>
        </w:rPr>
        <w:t xml:space="preserve">, а также соответствовать следующим критериям: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Присутствовать в Перечне кредитных организаций, соответствующих</w:t>
      </w:r>
      <w:r>
        <w:rPr>
          <w:rFonts w:ascii="Times New Roman" w:hAnsi="Times New Roman" w:cs="Times New Roman"/>
          <w:sz w:val="26"/>
          <w:szCs w:val="26"/>
        </w:rPr>
        <w:t xml:space="preserve"> требованиям, установленным ч. 1 ст. 2 Федерального закона от 21.07.2014 № 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</w:t>
      </w:r>
      <w:r>
        <w:rPr>
          <w:rFonts w:ascii="Times New Roman" w:hAnsi="Times New Roman" w:cs="Times New Roman"/>
          <w:sz w:val="26"/>
          <w:szCs w:val="26"/>
        </w:rPr>
        <w:t xml:space="preserve">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Иметь собственные средства (капитал) в размере не менее 30 млрд. рублей на 01 января</w:t>
      </w:r>
      <w:r>
        <w:rPr>
          <w:rFonts w:ascii="Times New Roman" w:hAnsi="Times New Roman" w:cs="Times New Roman"/>
          <w:sz w:val="26"/>
          <w:szCs w:val="26"/>
        </w:rPr>
        <w:t xml:space="preserve">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Иметь кредитный рейтинг по национальной шкале не ниже уровня «BBB» рейтингового агентства АКРА или не ниже уровня «</w:t>
      </w:r>
      <w:r>
        <w:rPr>
          <w:rFonts w:ascii="Times New Roman" w:hAnsi="Times New Roman" w:cs="Times New Roman"/>
          <w:sz w:val="26"/>
          <w:szCs w:val="26"/>
        </w:rPr>
        <w:t xml:space="preserve">ruBBB</w:t>
      </w:r>
      <w:r>
        <w:rPr>
          <w:rFonts w:ascii="Times New Roman" w:hAnsi="Times New Roman" w:cs="Times New Roman"/>
          <w:sz w:val="26"/>
          <w:szCs w:val="26"/>
        </w:rPr>
        <w:t xml:space="preserve">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</w:t>
      </w:r>
      <w:r>
        <w:rPr>
          <w:rFonts w:ascii="Times New Roman" w:hAnsi="Times New Roman" w:cs="Times New Roman"/>
          <w:sz w:val="26"/>
          <w:szCs w:val="26"/>
        </w:rPr>
        <w:t xml:space="preserve">Fitch-Ratings</w:t>
      </w:r>
      <w:r>
        <w:rPr>
          <w:rFonts w:ascii="Times New Roman" w:hAnsi="Times New Roman" w:cs="Times New Roman"/>
          <w:sz w:val="26"/>
          <w:szCs w:val="26"/>
        </w:rPr>
        <w:t xml:space="preserve">» или «</w:t>
      </w:r>
      <w:r>
        <w:rPr>
          <w:rFonts w:ascii="Times New Roman" w:hAnsi="Times New Roman" w:cs="Times New Roman"/>
          <w:sz w:val="26"/>
          <w:szCs w:val="26"/>
        </w:rPr>
        <w:t xml:space="preserve">Standard</w:t>
      </w:r>
      <w:r>
        <w:rPr>
          <w:rFonts w:ascii="Times New Roman" w:hAnsi="Times New Roman" w:cs="Times New Roman"/>
          <w:sz w:val="26"/>
          <w:szCs w:val="26"/>
        </w:rPr>
        <w:t xml:space="preserve"> &amp; </w:t>
      </w:r>
      <w:r>
        <w:rPr>
          <w:rFonts w:ascii="Times New Roman" w:hAnsi="Times New Roman" w:cs="Times New Roman"/>
          <w:sz w:val="26"/>
          <w:szCs w:val="26"/>
        </w:rPr>
        <w:t xml:space="preserve">Poor's</w:t>
      </w:r>
      <w:r>
        <w:rPr>
          <w:rFonts w:ascii="Times New Roman" w:hAnsi="Times New Roman" w:cs="Times New Roman"/>
          <w:sz w:val="26"/>
          <w:szCs w:val="26"/>
        </w:rPr>
        <w:t xml:space="preserve">» либо уровня «Bа2» по классификации рейтингового агентства «</w:t>
      </w:r>
      <w:r>
        <w:rPr>
          <w:rFonts w:ascii="Times New Roman" w:hAnsi="Times New Roman" w:cs="Times New Roman"/>
          <w:sz w:val="26"/>
          <w:szCs w:val="26"/>
        </w:rPr>
        <w:t xml:space="preserve">Moody's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Investors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Service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  <w:vertAlign w:val="superscript"/>
        </w:rPr>
        <w:footnoteReference w:id="4"/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Федерации»</w:t>
      </w:r>
      <w:r>
        <w:rPr>
          <w:rFonts w:ascii="Times New Roman" w:hAnsi="Times New Roman" w:cs="Times New Roman"/>
          <w:sz w:val="26"/>
          <w:szCs w:val="26"/>
          <w:vertAlign w:val="superscript"/>
        </w:rPr>
        <w:footnoteReference w:id="5"/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находиться в пр</w:t>
      </w:r>
      <w:r>
        <w:rPr>
          <w:rFonts w:ascii="Times New Roman" w:hAnsi="Times New Roman" w:cs="Times New Roman"/>
          <w:sz w:val="26"/>
          <w:szCs w:val="26"/>
        </w:rPr>
        <w:t xml:space="preserve">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иметь просроченную задолженность перед Обществом и компаниями Группы </w:t>
      </w:r>
      <w:r>
        <w:rPr>
          <w:rFonts w:ascii="Times New Roman" w:hAnsi="Times New Roman" w:cs="Times New Roman"/>
          <w:sz w:val="26"/>
          <w:szCs w:val="26"/>
        </w:rPr>
        <w:t xml:space="preserve">РусГидро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Присутствовать (иметь отделение, филиал) по месту нахождения Общества, его обособленного подразделения или Филиала, для нужд которого заключается Договор</w:t>
      </w:r>
      <w:r>
        <w:rPr>
          <w:rFonts w:ascii="Times New Roman" w:hAnsi="Times New Roman" w:cs="Times New Roman"/>
          <w:sz w:val="26"/>
          <w:szCs w:val="26"/>
          <w:vertAlign w:val="superscript"/>
        </w:rPr>
        <w:footnoteReference w:id="6"/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3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санкции, и кредитные организации определены отдельным решени</w:t>
      </w:r>
      <w:r>
        <w:rPr>
          <w:rFonts w:ascii="Times New Roman" w:hAnsi="Times New Roman" w:cs="Times New Roman"/>
          <w:sz w:val="26"/>
          <w:szCs w:val="26"/>
        </w:rPr>
        <w:t xml:space="preserve">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24.12.2011 № 1121</w:t>
      </w:r>
      <w:r>
        <w:rPr>
          <w:rFonts w:ascii="Times New Roman" w:hAnsi="Times New Roman" w:cs="Times New Roman"/>
          <w:sz w:val="26"/>
          <w:szCs w:val="26"/>
        </w:rPr>
        <w:t xml:space="preserve">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3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</w:t>
      </w:r>
      <w:r>
        <w:rPr>
          <w:rFonts w:ascii="Times New Roman" w:hAnsi="Times New Roman" w:cs="Times New Roman"/>
          <w:sz w:val="26"/>
          <w:szCs w:val="26"/>
        </w:rPr>
        <w:t xml:space="preserve">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3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Утвержденную Наблюдательным советом Асс</w:t>
      </w:r>
      <w:r>
        <w:rPr>
          <w:rFonts w:ascii="Times New Roman" w:hAnsi="Times New Roman" w:cs="Times New Roman"/>
          <w:sz w:val="26"/>
          <w:szCs w:val="26"/>
        </w:rPr>
        <w:t xml:space="preserve">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3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ВЭБ.РФ.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2"/>
        </w:numPr>
        <w:ind w:left="0"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</w:t>
      </w:r>
      <w:r>
        <w:rPr>
          <w:rFonts w:ascii="Times New Roman" w:hAnsi="Times New Roman" w:cs="Times New Roman"/>
          <w:sz w:val="26"/>
          <w:szCs w:val="26"/>
        </w:rPr>
        <w:t xml:space="preserve">РусГидро</w:t>
      </w:r>
      <w:r>
        <w:rPr>
          <w:rFonts w:ascii="Times New Roman" w:hAnsi="Times New Roman" w:cs="Times New Roman"/>
          <w:sz w:val="26"/>
          <w:szCs w:val="26"/>
        </w:rPr>
        <w:t xml:space="preserve">, не должна превышать размер лимита риска, определяемого по формуле: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Lim</w:t>
      </w:r>
      <w:r>
        <w:rPr>
          <w:rFonts w:ascii="Times New Roman" w:hAnsi="Times New Roman" w:cs="Times New Roman"/>
          <w:b/>
          <w:i/>
          <w:sz w:val="26"/>
          <w:szCs w:val="26"/>
          <w:vertAlign w:val="subscript"/>
        </w:rPr>
        <w:t xml:space="preserve">Ai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 =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r</w:t>
      </w:r>
      <w:r>
        <w:rPr>
          <w:rFonts w:ascii="Times New Roman" w:hAnsi="Times New Roman" w:cs="Times New Roman"/>
          <w:b/>
          <w:i/>
          <w:sz w:val="26"/>
          <w:szCs w:val="26"/>
          <w:vertAlign w:val="subscript"/>
        </w:rPr>
        <w:t xml:space="preserve">i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×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СK</w:t>
      </w:r>
      <w:r>
        <w:rPr>
          <w:rFonts w:ascii="Times New Roman" w:hAnsi="Times New Roman" w:cs="Times New Roman"/>
          <w:b/>
          <w:i/>
          <w:sz w:val="26"/>
          <w:szCs w:val="26"/>
          <w:vertAlign w:val="subscript"/>
        </w:rPr>
        <w:t xml:space="preserve">i</w:t>
      </w:r>
      <w:r>
        <w:rPr>
          <w:rFonts w:ascii="Times New Roman" w:hAnsi="Times New Roman" w:cs="Times New Roman"/>
          <w:sz w:val="26"/>
          <w:szCs w:val="26"/>
        </w:rPr>
        <w:t xml:space="preserve">, где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Lim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  <w:lang w:val="en-US"/>
              </w:rPr>
              <w:t xml:space="preserve">Ai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Лимит риска для i-ой кредитной организации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ootnoteReference w:id="7"/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trHeight w:val="280"/>
        </w:trPr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С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  <w:t xml:space="preserve">K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размер собственных средств (капитала) i-ой кредитной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9" w:tooltip="http://www.cbr.ru" w:history="1">
              <w:r>
                <w:rPr>
                  <w:rStyle w:val="937"/>
                  <w:rFonts w:ascii="Times New Roman" w:hAnsi="Times New Roman" w:cs="Times New Roman"/>
                  <w:sz w:val="26"/>
                  <w:szCs w:val="26"/>
                </w:rPr>
                <w:t xml:space="preserve">www.cbr.ru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i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рейтинговый коэффициент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ootnoteReference w:id="8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i-ой кредитной организации, равный: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«АА-»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0,025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«А-»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ruA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BB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ruBB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ind w:firstLine="851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Заказчика</w:t>
      </w:r>
      <w:r>
        <w:rPr>
          <w:rFonts w:ascii="Times New Roman" w:hAnsi="Times New Roman" w:eastAsia="Times New Roman" w:cs="Times New Roman"/>
          <w:b/>
        </w:rPr>
        <w:t xml:space="preserve">:</w:t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  <w:t xml:space="preserve">   </w:t>
      </w:r>
      <w:r>
        <w:rPr>
          <w:rFonts w:ascii="Times New Roman" w:hAnsi="Times New Roman" w:eastAsia="Times New Roman" w:cs="Times New Roman"/>
          <w:b/>
        </w:rPr>
        <w:t xml:space="preserve">                 </w:t>
      </w:r>
      <w:r>
        <w:rPr>
          <w:rFonts w:ascii="Times New Roman" w:hAnsi="Times New Roman" w:eastAsia="Times New Roman" w:cs="Times New Roman"/>
          <w:b/>
        </w:rPr>
        <w:t xml:space="preserve">от  Подрядчика</w:t>
      </w:r>
      <w:r>
        <w:rPr>
          <w:rFonts w:ascii="Times New Roman" w:hAnsi="Times New Roman" w:eastAsia="Times New Roman" w:cs="Times New Roman"/>
          <w:b/>
        </w:rPr>
        <w:t xml:space="preserve">: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                 МП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</w:rPr>
        <w:t xml:space="preserve">     </w:t>
      </w:r>
      <w:r>
        <w:rPr>
          <w:rFonts w:ascii="Times New Roman" w:hAnsi="Times New Roman" w:eastAsia="Times New Roman" w:cs="Times New Roman"/>
          <w:b/>
        </w:rPr>
        <w:t xml:space="preserve">МП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34"/>
        <w:jc w:val="both"/>
      </w:pPr>
      <w:r>
        <w:rPr>
          <w:rStyle w:val="936"/>
        </w:rPr>
        <w:footnoteRef/>
      </w:r>
      <w:r>
        <w:t xml:space="preserve"> </w:t>
      </w:r>
      <w:r>
        <w:t xml:space="preserve">Требования подлежат обязательному включению в состав документации о закупке.</w:t>
      </w:r>
      <w:r/>
    </w:p>
  </w:footnote>
  <w:footnote w:id="3">
    <w:p>
      <w:pPr>
        <w:pStyle w:val="934"/>
        <w:jc w:val="both"/>
      </w:pPr>
      <w:r>
        <w:rPr>
          <w:rStyle w:val="936"/>
        </w:rPr>
        <w:footnoteRef/>
      </w:r>
      <w:r>
        <w:t xml:space="preserve"> Актуальный Перечень Банков-Гарантов Группы </w:t>
      </w:r>
      <w:r>
        <w:t xml:space="preserve">РусГидро</w:t>
      </w:r>
      <w:r>
        <w:t xml:space="preserve"> размещен на официальном сайте Общества http://zakupki.rushydro.ru/PublicContent/Section/6</w:t>
      </w:r>
      <w:r/>
    </w:p>
  </w:footnote>
  <w:footnote w:id="4">
    <w:p>
      <w:pPr>
        <w:pStyle w:val="934"/>
        <w:jc w:val="both"/>
      </w:pPr>
      <w:r>
        <w:rPr>
          <w:rStyle w:val="936"/>
        </w:rPr>
        <w:footnoteRef/>
      </w:r>
      <w:r>
        <w:t xml:space="preserve"> </w:t>
      </w:r>
      <w:r>
        <w:t xml:space="preserve">Если кредитная организация имеет рейтинги креди</w:t>
      </w:r>
      <w:r>
        <w:t xml:space="preserve">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).</w:t>
      </w:r>
      <w:r/>
    </w:p>
  </w:footnote>
  <w:footnote w:id="5">
    <w:p>
      <w:pPr>
        <w:pStyle w:val="934"/>
        <w:jc w:val="both"/>
      </w:pPr>
      <w:r>
        <w:rPr>
          <w:rStyle w:val="936"/>
        </w:rPr>
        <w:footnoteRef/>
      </w:r>
      <w:r>
        <w:t xml:space="preserve"> </w:t>
      </w:r>
      <w:r>
        <w:t xml:space="preserve">Данное требование не применяется в отношении небанковских кредитных организаций</w:t>
      </w:r>
      <w:r>
        <w:t xml:space="preserve">.</w:t>
      </w:r>
      <w:r/>
    </w:p>
  </w:footnote>
  <w:footnote w:id="6">
    <w:p>
      <w:pPr>
        <w:pStyle w:val="934"/>
        <w:jc w:val="both"/>
      </w:pPr>
      <w:r>
        <w:rPr>
          <w:rStyle w:val="936"/>
        </w:rPr>
        <w:footnoteRef/>
      </w:r>
      <w:r>
        <w:t xml:space="preserve"> </w:t>
      </w:r>
      <w:r>
        <w:t xml:space="preserve">При издании ПО организационно-распорядительного документа о ТФУ данный критерий может быть исключен</w:t>
      </w:r>
      <w:r>
        <w:t xml:space="preserve">.</w:t>
      </w:r>
      <w:r/>
    </w:p>
  </w:footnote>
  <w:footnote w:id="7">
    <w:p>
      <w:pPr>
        <w:pStyle w:val="934"/>
        <w:jc w:val="both"/>
      </w:pPr>
      <w:r>
        <w:rPr>
          <w:rStyle w:val="936"/>
        </w:rPr>
        <w:footnoteRef/>
      </w:r>
      <w:r>
        <w:t xml:space="preserve"> Значение показателя округляется в большую или меньшую сторону до суммы, кратн</w:t>
      </w:r>
      <w:r>
        <w:t xml:space="preserve">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</w:t>
      </w:r>
      <w:r>
        <w:t xml:space="preserve">. </w:t>
      </w:r>
      <w:r>
        <w:t xml:space="preserve">Например, расчетное значение лимита - 5 440 млн. руб., лимит к установлению - 5 400 млн. руб.; расчетное значение лимита - 5 450 млн. руб., лимит к установлению - 5 500 млн. руб.</w:t>
      </w:r>
      <w:r/>
    </w:p>
  </w:footnote>
  <w:footnote w:id="8">
    <w:p>
      <w:pPr>
        <w:pStyle w:val="934"/>
        <w:jc w:val="both"/>
      </w:pPr>
      <w:r>
        <w:rPr>
          <w:rStyle w:val="936"/>
        </w:rPr>
        <w:footnoteRef/>
      </w:r>
      <w:r>
        <w:t xml:space="preserve"> </w:t>
      </w:r>
      <w:r>
        <w:t xml:space="preserve">Если кредитная организация имеет рейтинги креди</w:t>
      </w:r>
      <w:r>
        <w:t xml:space="preserve">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1 Char"/>
    <w:basedOn w:val="931"/>
    <w:link w:val="930"/>
    <w:uiPriority w:val="9"/>
    <w:rPr>
      <w:rFonts w:ascii="Arial" w:hAnsi="Arial" w:eastAsia="Arial" w:cs="Arial"/>
      <w:sz w:val="40"/>
      <w:szCs w:val="40"/>
    </w:rPr>
  </w:style>
  <w:style w:type="paragraph" w:styleId="757">
    <w:name w:val="Heading 2"/>
    <w:basedOn w:val="929"/>
    <w:next w:val="929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8">
    <w:name w:val="Heading 2 Char"/>
    <w:basedOn w:val="931"/>
    <w:link w:val="757"/>
    <w:uiPriority w:val="9"/>
    <w:rPr>
      <w:rFonts w:ascii="Arial" w:hAnsi="Arial" w:eastAsia="Arial" w:cs="Arial"/>
      <w:sz w:val="34"/>
    </w:rPr>
  </w:style>
  <w:style w:type="paragraph" w:styleId="759">
    <w:name w:val="Heading 3"/>
    <w:basedOn w:val="929"/>
    <w:next w:val="929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31"/>
    <w:link w:val="759"/>
    <w:uiPriority w:val="9"/>
    <w:rPr>
      <w:rFonts w:ascii="Arial" w:hAnsi="Arial" w:eastAsia="Arial" w:cs="Arial"/>
      <w:sz w:val="30"/>
      <w:szCs w:val="30"/>
    </w:rPr>
  </w:style>
  <w:style w:type="paragraph" w:styleId="761">
    <w:name w:val="Heading 4"/>
    <w:basedOn w:val="929"/>
    <w:next w:val="929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31"/>
    <w:link w:val="761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9"/>
    <w:next w:val="929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31"/>
    <w:link w:val="763"/>
    <w:uiPriority w:val="9"/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9"/>
    <w:next w:val="929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31"/>
    <w:link w:val="765"/>
    <w:uiPriority w:val="9"/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9"/>
    <w:next w:val="929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31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9"/>
    <w:next w:val="929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31"/>
    <w:link w:val="769"/>
    <w:uiPriority w:val="9"/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9"/>
    <w:next w:val="929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31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No Spacing"/>
    <w:uiPriority w:val="1"/>
    <w:qFormat/>
    <w:pPr>
      <w:spacing w:before="0" w:after="0" w:line="240" w:lineRule="auto"/>
    </w:pPr>
  </w:style>
  <w:style w:type="paragraph" w:styleId="774">
    <w:name w:val="Title"/>
    <w:basedOn w:val="929"/>
    <w:next w:val="929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>
    <w:name w:val="Title Char"/>
    <w:basedOn w:val="931"/>
    <w:link w:val="774"/>
    <w:uiPriority w:val="10"/>
    <w:rPr>
      <w:sz w:val="48"/>
      <w:szCs w:val="48"/>
    </w:rPr>
  </w:style>
  <w:style w:type="paragraph" w:styleId="776">
    <w:name w:val="Subtitle"/>
    <w:basedOn w:val="929"/>
    <w:next w:val="929"/>
    <w:link w:val="777"/>
    <w:uiPriority w:val="11"/>
    <w:qFormat/>
    <w:pPr>
      <w:spacing w:before="200" w:after="200"/>
    </w:pPr>
    <w:rPr>
      <w:sz w:val="24"/>
      <w:szCs w:val="24"/>
    </w:rPr>
  </w:style>
  <w:style w:type="character" w:styleId="777">
    <w:name w:val="Subtitle Char"/>
    <w:basedOn w:val="931"/>
    <w:link w:val="776"/>
    <w:uiPriority w:val="11"/>
    <w:rPr>
      <w:sz w:val="24"/>
      <w:szCs w:val="24"/>
    </w:rPr>
  </w:style>
  <w:style w:type="paragraph" w:styleId="778">
    <w:name w:val="Quote"/>
    <w:basedOn w:val="929"/>
    <w:next w:val="929"/>
    <w:link w:val="779"/>
    <w:uiPriority w:val="29"/>
    <w:qFormat/>
    <w:pPr>
      <w:ind w:left="720" w:right="720"/>
    </w:pPr>
    <w:rPr>
      <w:i/>
    </w:rPr>
  </w:style>
  <w:style w:type="character" w:styleId="779">
    <w:name w:val="Quote Char"/>
    <w:link w:val="778"/>
    <w:uiPriority w:val="29"/>
    <w:rPr>
      <w:i/>
    </w:rPr>
  </w:style>
  <w:style w:type="paragraph" w:styleId="780">
    <w:name w:val="Intense Quote"/>
    <w:basedOn w:val="929"/>
    <w:next w:val="929"/>
    <w:link w:val="7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>
    <w:name w:val="Intense Quote Char"/>
    <w:link w:val="780"/>
    <w:uiPriority w:val="30"/>
    <w:rPr>
      <w:i/>
    </w:rPr>
  </w:style>
  <w:style w:type="paragraph" w:styleId="782">
    <w:name w:val="Header"/>
    <w:basedOn w:val="929"/>
    <w:link w:val="7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3">
    <w:name w:val="Header Char"/>
    <w:basedOn w:val="931"/>
    <w:link w:val="782"/>
    <w:uiPriority w:val="99"/>
  </w:style>
  <w:style w:type="paragraph" w:styleId="784">
    <w:name w:val="Footer"/>
    <w:basedOn w:val="929"/>
    <w:link w:val="7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5">
    <w:name w:val="Footer Char"/>
    <w:basedOn w:val="931"/>
    <w:link w:val="784"/>
    <w:uiPriority w:val="99"/>
  </w:style>
  <w:style w:type="paragraph" w:styleId="786">
    <w:name w:val="Caption"/>
    <w:basedOn w:val="929"/>
    <w:next w:val="929"/>
    <w:link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7">
    <w:name w:val="Caption Char"/>
    <w:basedOn w:val="786"/>
    <w:link w:val="784"/>
    <w:uiPriority w:val="99"/>
  </w:style>
  <w:style w:type="table" w:styleId="788">
    <w:name w:val="Table Grid"/>
    <w:basedOn w:val="9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Table Grid Light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2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>
    <w:name w:val="Grid Table 1 Light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4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>
    <w:name w:val="Grid Table 4 - Accent 1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8">
    <w:name w:val="Grid Table 4 - Accent 2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Grid Table 4 - Accent 3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0">
    <w:name w:val="Grid Table 4 - Accent 4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Grid Table 4 - Accent 5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2">
    <w:name w:val="Grid Table 4 - Accent 6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3">
    <w:name w:val="Grid Table 5 Dark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0">
    <w:name w:val="Grid Table 6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1">
    <w:name w:val="Grid Table 6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2">
    <w:name w:val="Grid Table 6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3">
    <w:name w:val="Grid Table 6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4">
    <w:name w:val="Grid Table 6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5">
    <w:name w:val="Grid Table 6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6">
    <w:name w:val="Grid Table 6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7">
    <w:name w:val="Grid Table 7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2">
    <w:name w:val="List Table 2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3">
    <w:name w:val="List Table 2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4">
    <w:name w:val="List Table 2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5">
    <w:name w:val="List Table 2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6">
    <w:name w:val="List Table 2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7">
    <w:name w:val="List Table 2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8">
    <w:name w:val="List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5 Dark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6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0">
    <w:name w:val="List Table 6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1">
    <w:name w:val="List Table 6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List Table 6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3">
    <w:name w:val="List Table 6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List Table 6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5">
    <w:name w:val="List Table 6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6">
    <w:name w:val="List Table 7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7">
    <w:name w:val="List Table 7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8">
    <w:name w:val="List Table 7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9">
    <w:name w:val="List Table 7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0">
    <w:name w:val="List Table 7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1">
    <w:name w:val="List Table 7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2">
    <w:name w:val="List Table 7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3">
    <w:name w:val="Lined - Accent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Lined - Accent 1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Lined - Accent 2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Lined - Accent 3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Lined - Accent 4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Lined - Accent 5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Lined - Accent 6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 &amp; Lined - Accent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Bordered &amp; Lined - Accent 1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2">
    <w:name w:val="Bordered &amp; Lined - Accent 2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3">
    <w:name w:val="Bordered &amp; Lined - Accent 3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4">
    <w:name w:val="Bordered &amp; Lined - Accent 4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5">
    <w:name w:val="Bordered &amp; Lined - Accent 5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6">
    <w:name w:val="Bordered &amp; Lined - Accent 6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7">
    <w:name w:val="Bordered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8">
    <w:name w:val="Bordered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9">
    <w:name w:val="Bordered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0">
    <w:name w:val="Bordered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1">
    <w:name w:val="Bordered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2">
    <w:name w:val="Bordered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3">
    <w:name w:val="Bordered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4">
    <w:name w:val="Footnote Text Char"/>
    <w:link w:val="934"/>
    <w:uiPriority w:val="99"/>
    <w:rPr>
      <w:sz w:val="18"/>
    </w:rPr>
  </w:style>
  <w:style w:type="paragraph" w:styleId="915">
    <w:name w:val="endnote text"/>
    <w:basedOn w:val="929"/>
    <w:link w:val="916"/>
    <w:uiPriority w:val="99"/>
    <w:semiHidden/>
    <w:unhideWhenUsed/>
    <w:pPr>
      <w:spacing w:after="0" w:line="240" w:lineRule="auto"/>
    </w:pPr>
    <w:rPr>
      <w:sz w:val="20"/>
    </w:rPr>
  </w:style>
  <w:style w:type="character" w:styleId="916">
    <w:name w:val="Endnote Text Char"/>
    <w:link w:val="915"/>
    <w:uiPriority w:val="99"/>
    <w:rPr>
      <w:sz w:val="20"/>
    </w:rPr>
  </w:style>
  <w:style w:type="character" w:styleId="917">
    <w:name w:val="endnote reference"/>
    <w:basedOn w:val="931"/>
    <w:uiPriority w:val="99"/>
    <w:semiHidden/>
    <w:unhideWhenUsed/>
    <w:rPr>
      <w:vertAlign w:val="superscript"/>
    </w:rPr>
  </w:style>
  <w:style w:type="paragraph" w:styleId="918">
    <w:name w:val="toc 1"/>
    <w:basedOn w:val="929"/>
    <w:next w:val="929"/>
    <w:uiPriority w:val="39"/>
    <w:unhideWhenUsed/>
    <w:pPr>
      <w:ind w:left="0" w:right="0" w:firstLine="0"/>
      <w:spacing w:after="57"/>
    </w:pPr>
  </w:style>
  <w:style w:type="paragraph" w:styleId="919">
    <w:name w:val="toc 2"/>
    <w:basedOn w:val="929"/>
    <w:next w:val="929"/>
    <w:uiPriority w:val="39"/>
    <w:unhideWhenUsed/>
    <w:pPr>
      <w:ind w:left="283" w:right="0" w:firstLine="0"/>
      <w:spacing w:after="57"/>
    </w:pPr>
  </w:style>
  <w:style w:type="paragraph" w:styleId="920">
    <w:name w:val="toc 3"/>
    <w:basedOn w:val="929"/>
    <w:next w:val="929"/>
    <w:uiPriority w:val="39"/>
    <w:unhideWhenUsed/>
    <w:pPr>
      <w:ind w:left="567" w:right="0" w:firstLine="0"/>
      <w:spacing w:after="57"/>
    </w:pPr>
  </w:style>
  <w:style w:type="paragraph" w:styleId="921">
    <w:name w:val="toc 4"/>
    <w:basedOn w:val="929"/>
    <w:next w:val="929"/>
    <w:uiPriority w:val="39"/>
    <w:unhideWhenUsed/>
    <w:pPr>
      <w:ind w:left="850" w:right="0" w:firstLine="0"/>
      <w:spacing w:after="57"/>
    </w:pPr>
  </w:style>
  <w:style w:type="paragraph" w:styleId="922">
    <w:name w:val="toc 5"/>
    <w:basedOn w:val="929"/>
    <w:next w:val="929"/>
    <w:uiPriority w:val="39"/>
    <w:unhideWhenUsed/>
    <w:pPr>
      <w:ind w:left="1134" w:right="0" w:firstLine="0"/>
      <w:spacing w:after="57"/>
    </w:pPr>
  </w:style>
  <w:style w:type="paragraph" w:styleId="923">
    <w:name w:val="toc 6"/>
    <w:basedOn w:val="929"/>
    <w:next w:val="929"/>
    <w:uiPriority w:val="39"/>
    <w:unhideWhenUsed/>
    <w:pPr>
      <w:ind w:left="1417" w:right="0" w:firstLine="0"/>
      <w:spacing w:after="57"/>
    </w:pPr>
  </w:style>
  <w:style w:type="paragraph" w:styleId="924">
    <w:name w:val="toc 7"/>
    <w:basedOn w:val="929"/>
    <w:next w:val="929"/>
    <w:uiPriority w:val="39"/>
    <w:unhideWhenUsed/>
    <w:pPr>
      <w:ind w:left="1701" w:right="0" w:firstLine="0"/>
      <w:spacing w:after="57"/>
    </w:pPr>
  </w:style>
  <w:style w:type="paragraph" w:styleId="925">
    <w:name w:val="toc 8"/>
    <w:basedOn w:val="929"/>
    <w:next w:val="929"/>
    <w:uiPriority w:val="39"/>
    <w:unhideWhenUsed/>
    <w:pPr>
      <w:ind w:left="1984" w:right="0" w:firstLine="0"/>
      <w:spacing w:after="57"/>
    </w:pPr>
  </w:style>
  <w:style w:type="paragraph" w:styleId="926">
    <w:name w:val="toc 9"/>
    <w:basedOn w:val="929"/>
    <w:next w:val="929"/>
    <w:uiPriority w:val="39"/>
    <w:unhideWhenUsed/>
    <w:pPr>
      <w:ind w:left="2268" w:right="0" w:firstLine="0"/>
      <w:spacing w:after="57"/>
    </w:pPr>
  </w:style>
  <w:style w:type="paragraph" w:styleId="927">
    <w:name w:val="TOC Heading"/>
    <w:uiPriority w:val="39"/>
    <w:unhideWhenUsed/>
  </w:style>
  <w:style w:type="paragraph" w:styleId="928">
    <w:name w:val="table of figures"/>
    <w:basedOn w:val="929"/>
    <w:next w:val="929"/>
    <w:uiPriority w:val="99"/>
    <w:unhideWhenUsed/>
    <w:pPr>
      <w:spacing w:after="0" w:afterAutospacing="0"/>
    </w:pPr>
  </w:style>
  <w:style w:type="paragraph" w:styleId="929" w:default="1">
    <w:name w:val="Normal"/>
    <w:qFormat/>
  </w:style>
  <w:style w:type="paragraph" w:styleId="930">
    <w:name w:val="Heading 1"/>
    <w:basedOn w:val="929"/>
    <w:next w:val="929"/>
    <w:link w:val="939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931" w:default="1">
    <w:name w:val="Default Paragraph Font"/>
    <w:uiPriority w:val="1"/>
    <w:semiHidden/>
    <w:unhideWhenUsed/>
  </w:style>
  <w:style w:type="table" w:styleId="9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3" w:default="1">
    <w:name w:val="No List"/>
    <w:uiPriority w:val="99"/>
    <w:semiHidden/>
    <w:unhideWhenUsed/>
  </w:style>
  <w:style w:type="paragraph" w:styleId="934">
    <w:name w:val="footnote text"/>
    <w:basedOn w:val="929"/>
    <w:link w:val="935"/>
    <w:uiPriority w:val="99"/>
    <w:unhideWhenUsed/>
    <w:pPr>
      <w:spacing w:after="0" w:line="240" w:lineRule="auto"/>
    </w:pPr>
    <w:rPr>
      <w:sz w:val="20"/>
      <w:szCs w:val="20"/>
    </w:rPr>
  </w:style>
  <w:style w:type="character" w:styleId="935" w:customStyle="1">
    <w:name w:val="Текст сноски Знак"/>
    <w:basedOn w:val="931"/>
    <w:link w:val="934"/>
    <w:uiPriority w:val="99"/>
    <w:rPr>
      <w:sz w:val="20"/>
      <w:szCs w:val="20"/>
    </w:rPr>
  </w:style>
  <w:style w:type="character" w:styleId="936">
    <w:name w:val="footnote reference"/>
    <w:rPr>
      <w:vertAlign w:val="superscript"/>
    </w:rPr>
  </w:style>
  <w:style w:type="character" w:styleId="937">
    <w:name w:val="Hyperlink"/>
    <w:uiPriority w:val="99"/>
    <w:unhideWhenUsed/>
    <w:rPr>
      <w:color w:val="0000ff"/>
      <w:u w:val="single"/>
    </w:rPr>
  </w:style>
  <w:style w:type="character" w:styleId="938">
    <w:name w:val="FollowedHyperlink"/>
    <w:basedOn w:val="931"/>
    <w:uiPriority w:val="99"/>
    <w:semiHidden/>
    <w:unhideWhenUsed/>
    <w:rPr>
      <w:color w:val="800080" w:themeColor="followedHyperlink"/>
      <w:u w:val="single"/>
    </w:rPr>
  </w:style>
  <w:style w:type="character" w:styleId="939" w:customStyle="1">
    <w:name w:val="Заголовок 1 Знак"/>
    <w:basedOn w:val="931"/>
    <w:link w:val="930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940">
    <w:name w:val="List Paragraph"/>
    <w:basedOn w:val="92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paragraph" w:styleId="94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panushkina_of</cp:lastModifiedBy>
  <cp:revision>33</cp:revision>
  <dcterms:created xsi:type="dcterms:W3CDTF">2019-12-30T00:33:00Z</dcterms:created>
  <dcterms:modified xsi:type="dcterms:W3CDTF">2025-07-25T05:47:17Z</dcterms:modified>
</cp:coreProperties>
</file>